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inicia una demanda judicial por daño ambiental por el Canal de la Patria.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Aves Argentinas / Asociación Ornitológica del Plata, Fundación Vida Silvestre Argentina y Fundación Ambiente y Recursos Naturales han iniciado una demanda en la instancia originaria y exclusiva de la Corte Suprema de Justicia de la Nación, contra la Provincia de Santiago del Estero y el Estado Nacional, por el daño ambiental de incidencia colectiva que produce la obra pública Nuevo Canal de la Patria.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“Canal de la Patria” es una obra en Santiago del Estero que se encarga de llevar agua desde el Río Salado a las poblaciones del este de la provincia. Se extiende desde la localidad de Santos Lugares (con una toma directa desde el Río Salado), pasando por una pequeña parte del Departamento Figueroa y continuando por el Departamento Moreno. El Canal fue construido originalmente a fines de la década de los 70 e inaugurado a principios del año 1980. Los motivos principales para su ejecución eran los de abastecer de agua para el consumo humano dicha región provincial y lograr el desarrollo de la actividad ganadera. El viejo canal no estaba cumpliendo sus objetivos, debido a las condiciones técnicas con las que se había ejecutado, la falta de mantenimiento posterior y las pérdidas por infiltración. Para dotarlo de mayor eficiencia, el Gobierno provincial decidió en 2020 comenzar las gestiones para construir un Nuevo Canal, esta vez, de cemento.  La traza de la obra va desde la toma en el río, hasta un punto de bifurcación próximo a la localidad de 9 de Julio (progresiva 53.722,13) y desde allí hasta la ciudad de Quimilí, con una extensión total de aproximadamente 180 kilómetros. Cabe aclarar que la extensión total del canal es de 250 km, siendo 180 km la longitud de la obra nueva.</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año 2020 se proyecta y diseña la nueva obra por el Estado Nacional a través del Ente Nacional de Obras Hídricas y Saneamiento (ENOHSA) y en el 2021 se acuerda el financiamiento de la Secretaría de Infraestructura y Política Hídrica, dependiente del ex Ministerio de Obras Públicas de la Nación. La obra fue concesionada por la Provincia de Santiago del Estero. El problema es que nunca se tuvieron en cuenta los graves impactos que la misma produciría sobre la fauna, el ecosistema y la biodiversidad.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Concretamente, el nuevo canal está construido de cemento con paredes empinadas, lo que provoca que los animales caigan al intentar cruzar o tomar agua y no puedan salir, muriendo ahogados. Es decir, opera como una trampa mortal. Esto se agrava si tenemos en cuenta que la obra se ubica en una zona muy seca (ecorregión Gran Chaco Seco). Entre las especies afectadas se encuentran el “Oso Hormiguero Gigante (</w:t>
      </w:r>
      <w:r w:rsidDel="00000000" w:rsidR="00000000" w:rsidRPr="00000000">
        <w:rPr>
          <w:rFonts w:ascii="Times New Roman" w:cs="Times New Roman" w:eastAsia="Times New Roman" w:hAnsi="Times New Roman"/>
          <w:i w:val="1"/>
          <w:sz w:val="24"/>
          <w:szCs w:val="24"/>
          <w:rtl w:val="0"/>
        </w:rPr>
        <w:t xml:space="preserve">Myrmecophaga tridactyla</w:t>
      </w:r>
      <w:r w:rsidDel="00000000" w:rsidR="00000000" w:rsidRPr="00000000">
        <w:rPr>
          <w:rFonts w:ascii="Times New Roman" w:cs="Times New Roman" w:eastAsia="Times New Roman" w:hAnsi="Times New Roman"/>
          <w:sz w:val="24"/>
          <w:szCs w:val="24"/>
          <w:rtl w:val="0"/>
        </w:rPr>
        <w:t xml:space="preserve">, Vulnerable), la Tortuga Terrestre Argentina (</w:t>
      </w:r>
      <w:r w:rsidDel="00000000" w:rsidR="00000000" w:rsidRPr="00000000">
        <w:rPr>
          <w:rFonts w:ascii="Times New Roman" w:cs="Times New Roman" w:eastAsia="Times New Roman" w:hAnsi="Times New Roman"/>
          <w:i w:val="1"/>
          <w:sz w:val="24"/>
          <w:szCs w:val="24"/>
          <w:rtl w:val="0"/>
        </w:rPr>
        <w:t xml:space="preserve">Chelonoidis chilensis</w:t>
      </w:r>
      <w:r w:rsidDel="00000000" w:rsidR="00000000" w:rsidRPr="00000000">
        <w:rPr>
          <w:rFonts w:ascii="Times New Roman" w:cs="Times New Roman" w:eastAsia="Times New Roman" w:hAnsi="Times New Roman"/>
          <w:sz w:val="24"/>
          <w:szCs w:val="24"/>
          <w:rtl w:val="0"/>
        </w:rPr>
        <w:t xml:space="preserve">, Vulnerable), la Corzuela Parda (</w:t>
      </w:r>
      <w:r w:rsidDel="00000000" w:rsidR="00000000" w:rsidRPr="00000000">
        <w:rPr>
          <w:rFonts w:ascii="Times New Roman" w:cs="Times New Roman" w:eastAsia="Times New Roman" w:hAnsi="Times New Roman"/>
          <w:i w:val="1"/>
          <w:sz w:val="24"/>
          <w:szCs w:val="24"/>
          <w:rtl w:val="0"/>
        </w:rPr>
        <w:t xml:space="preserve">Mazama gouazoubira</w:t>
      </w:r>
      <w:r w:rsidDel="00000000" w:rsidR="00000000" w:rsidRPr="00000000">
        <w:rPr>
          <w:rFonts w:ascii="Times New Roman" w:cs="Times New Roman" w:eastAsia="Times New Roman" w:hAnsi="Times New Roman"/>
          <w:sz w:val="24"/>
          <w:szCs w:val="24"/>
          <w:rtl w:val="0"/>
        </w:rPr>
        <w:t xml:space="preserve">, Preocupación Menor), el Pecarí de Collar (</w:t>
      </w:r>
      <w:r w:rsidDel="00000000" w:rsidR="00000000" w:rsidRPr="00000000">
        <w:rPr>
          <w:rFonts w:ascii="Times New Roman" w:cs="Times New Roman" w:eastAsia="Times New Roman" w:hAnsi="Times New Roman"/>
          <w:i w:val="1"/>
          <w:sz w:val="24"/>
          <w:szCs w:val="24"/>
          <w:rtl w:val="0"/>
        </w:rPr>
        <w:t xml:space="preserve">Pecari tajacu</w:t>
      </w:r>
      <w:r w:rsidDel="00000000" w:rsidR="00000000" w:rsidRPr="00000000">
        <w:rPr>
          <w:rFonts w:ascii="Times New Roman" w:cs="Times New Roman" w:eastAsia="Times New Roman" w:hAnsi="Times New Roman"/>
          <w:sz w:val="24"/>
          <w:szCs w:val="24"/>
          <w:rtl w:val="0"/>
        </w:rPr>
        <w:t xml:space="preserve">, Vulnerable para Argentina) (SAyDS 2019, IUCN 2024), la Mulita (</w:t>
      </w:r>
      <w:r w:rsidDel="00000000" w:rsidR="00000000" w:rsidRPr="00000000">
        <w:rPr>
          <w:rFonts w:ascii="Times New Roman" w:cs="Times New Roman" w:eastAsia="Times New Roman" w:hAnsi="Times New Roman"/>
          <w:i w:val="1"/>
          <w:sz w:val="24"/>
          <w:szCs w:val="24"/>
          <w:rtl w:val="0"/>
        </w:rPr>
        <w:t xml:space="preserve">Dasypus hybridus</w:t>
      </w:r>
      <w:r w:rsidDel="00000000" w:rsidR="00000000" w:rsidRPr="00000000">
        <w:rPr>
          <w:rFonts w:ascii="Times New Roman" w:cs="Times New Roman" w:eastAsia="Times New Roman" w:hAnsi="Times New Roman"/>
          <w:sz w:val="24"/>
          <w:szCs w:val="24"/>
          <w:rtl w:val="0"/>
        </w:rPr>
        <w:t xml:space="preserve">, Casi Amenazado), el Oso Melero (</w:t>
      </w:r>
      <w:r w:rsidDel="00000000" w:rsidR="00000000" w:rsidRPr="00000000">
        <w:rPr>
          <w:rFonts w:ascii="Times New Roman" w:cs="Times New Roman" w:eastAsia="Times New Roman" w:hAnsi="Times New Roman"/>
          <w:i w:val="1"/>
          <w:sz w:val="24"/>
          <w:szCs w:val="24"/>
          <w:rtl w:val="0"/>
        </w:rPr>
        <w:t xml:space="preserve">Tamandua tetradactyla</w:t>
      </w:r>
      <w:r w:rsidDel="00000000" w:rsidR="00000000" w:rsidRPr="00000000">
        <w:rPr>
          <w:rFonts w:ascii="Times New Roman" w:cs="Times New Roman" w:eastAsia="Times New Roman" w:hAnsi="Times New Roman"/>
          <w:sz w:val="24"/>
          <w:szCs w:val="24"/>
          <w:rtl w:val="0"/>
        </w:rPr>
        <w:t xml:space="preserve">, Casi Amenazado para Argentina), y el Mataco Bola (</w:t>
      </w:r>
      <w:r w:rsidDel="00000000" w:rsidR="00000000" w:rsidRPr="00000000">
        <w:rPr>
          <w:rFonts w:ascii="Times New Roman" w:cs="Times New Roman" w:eastAsia="Times New Roman" w:hAnsi="Times New Roman"/>
          <w:i w:val="1"/>
          <w:sz w:val="24"/>
          <w:szCs w:val="24"/>
          <w:rtl w:val="0"/>
        </w:rPr>
        <w:t xml:space="preserve">Tolypeutes matacus</w:t>
      </w:r>
      <w:r w:rsidDel="00000000" w:rsidR="00000000" w:rsidRPr="00000000">
        <w:rPr>
          <w:rFonts w:ascii="Times New Roman" w:cs="Times New Roman" w:eastAsia="Times New Roman" w:hAnsi="Times New Roman"/>
          <w:sz w:val="24"/>
          <w:szCs w:val="24"/>
          <w:rtl w:val="0"/>
        </w:rPr>
        <w:t xml:space="preserve">, Casi Amenazado). La mayor parte de estas especies se encuentran en peligro de extinción o tienen tendencias poblacionales negativas a nivel mundial.</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tan grande el impacto que produce la obra que atenta contra especies protegidas y declaradas monumentos naturales en provincias vecinas como Chaco, Formosa y Córdoba (a las que pedimos se cite como terceros en la causa para que hagan valer sus intereses). Esto muestra la relevancia del daño ambiental que se está produciendo por afectación de la fauna y de un sistema ecológico compartido por varias provincias.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de los efectos negativos del Nuevo Canal de la Patria es la fragmentación del hábitat, ya que además de comprometer la continuidad del paisaje, constituye una barrera física de más de 200 km de largo que impide el desplazamiento de la fauna. Esta alteración en los movimientos naturales de las especies limita su acceso a recursos esenciales, aísla a sus poblaciones y restringe el flujo genético entre ellas. Los animales, en poblaciones más pequeñas y aisladas tienden a fluctuar más ampliamente con el tiempo y tienen una mayor probabilidad de extinción que las poblaciones más grandes.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organizaciones mencionadas han intentado por todos los medios lograr que los organismos responsables cumplan su cometido y adopten medidas correctivas para evitar las muertes de la fauna, pero ello no sucedió. La situación ha sido tan grave que en diciembre del año 2024 la Defensoría del Pueblo de la Nación dictó la Resolución N° 53/24 (RESOL-2024-115-E-DPNSECGRAL#DPN) instando a la Secretaría de Recursos Hídricos de la Nación y la Provincia de Santiago del Estero a que lleven adelante un monitoreo y medidas correctivas para evitar lo que la propia defensoría calificó como daño ambiental.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respuestas que se fueron dando en los primeros meses de este año en lugar de mostrar acciones, simplemente se dedicaron a enumerar cosas que se proyectaban, sin considerar la urgencia del caso. Como muestra, en el expediente de la Defensoría luce la respuesta de la Provincia de Santiago del Estero que para una obra de 250 km de longitud solo tomo las siguientes medidas: 7 rampas/escaleras para salida de los animales del agua; 15 pasarelas para cruzar el canal; 5 bebederos para fauna. Como justificativo para estas medidas, la provincia acompañó imágenes de monitoreo de la fauna de hace 10 años, lo que demuestra además la falta de información actualizada sobre las especies que habitan la zona. En otras palabras, estamos ante un caso de altísima gravedad, pero las autoridades no se lo han tomado seriamente ni siquiera ante la resolución de la Defensoría del Pueblo de la Nación.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los expedientes, sobre todo del de la Defensoría del Pueblo de la Nación ha quedado demostrado que ninguno de estos aspectos fue considerados en el diseño de la obra, solo se actuó, escasa e ineficazmente luego de que los animales comenzaron a morir en grandes cantidades. </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 varias presentaciones y reclamos, se ha decidido recurrir a la justicia. Siendo la causa federal, por estar comprometida la responsabilidad del Estado Nación, y al estar también demandada una provincia, corresponde intervenir en instancia originaria a la Corte Suprema de Justicia de la Nación, conforme los art. 116 y 117 de la Constitución Nacional. Es dable remarcar que la Corte desde hace casi veinte años viene forjando una línea jurisprudencial en vanguardia en materia de derecho ambiental, por lo que se tienen cifradas expectativas en que este conflicto sea bien resuelto.</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objeto de la demanda es que tanto el Gobierno Nacional como el de la Provincia lleven adelante un Plan de Recomposición que incluya: </w:t>
      </w:r>
      <w:r w:rsidDel="00000000" w:rsidR="00000000" w:rsidRPr="00000000">
        <w:rPr>
          <w:rFonts w:ascii="Times New Roman" w:cs="Times New Roman" w:eastAsia="Times New Roman" w:hAnsi="Times New Roman"/>
          <w:i w:val="1"/>
          <w:sz w:val="24"/>
          <w:szCs w:val="24"/>
          <w:rtl w:val="0"/>
        </w:rPr>
        <w:t xml:space="preserve">a) Monitoreo urgente</w:t>
      </w:r>
      <w:r w:rsidDel="00000000" w:rsidR="00000000" w:rsidRPr="00000000">
        <w:rPr>
          <w:rFonts w:ascii="Times New Roman" w:cs="Times New Roman" w:eastAsia="Times New Roman" w:hAnsi="Times New Roman"/>
          <w:sz w:val="24"/>
          <w:szCs w:val="24"/>
          <w:rtl w:val="0"/>
        </w:rPr>
        <w:t xml:space="preserve"> con el objeto de detectar las muertes, lugares, especies, coordenadas, estado de descomposición, monitoreo del estado de potabilidad del agua; </w:t>
      </w:r>
      <w:r w:rsidDel="00000000" w:rsidR="00000000" w:rsidRPr="00000000">
        <w:rPr>
          <w:rFonts w:ascii="Times New Roman" w:cs="Times New Roman" w:eastAsia="Times New Roman" w:hAnsi="Times New Roman"/>
          <w:i w:val="1"/>
          <w:sz w:val="24"/>
          <w:szCs w:val="24"/>
          <w:rtl w:val="0"/>
        </w:rPr>
        <w:t xml:space="preserve">b) Zonificación</w:t>
      </w:r>
      <w:r w:rsidDel="00000000" w:rsidR="00000000" w:rsidRPr="00000000">
        <w:rPr>
          <w:rFonts w:ascii="Times New Roman" w:cs="Times New Roman" w:eastAsia="Times New Roman" w:hAnsi="Times New Roman"/>
          <w:sz w:val="24"/>
          <w:szCs w:val="24"/>
          <w:rtl w:val="0"/>
        </w:rPr>
        <w:t xml:space="preserve"> para obtener un Mapa General de la obra Canal de la Patria, identificando tramos donde se requiere el entubamiento, lugares donde pueden proyectarse bebederos, y demás medidas de mitigación complementarias; </w:t>
      </w:r>
      <w:r w:rsidDel="00000000" w:rsidR="00000000" w:rsidRPr="00000000">
        <w:rPr>
          <w:rFonts w:ascii="Times New Roman" w:cs="Times New Roman" w:eastAsia="Times New Roman" w:hAnsi="Times New Roman"/>
          <w:i w:val="1"/>
          <w:sz w:val="24"/>
          <w:szCs w:val="24"/>
          <w:rtl w:val="0"/>
        </w:rPr>
        <w:t xml:space="preserve">c) Proyección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 obras</w:t>
      </w:r>
      <w:r w:rsidDel="00000000" w:rsidR="00000000" w:rsidRPr="00000000">
        <w:rPr>
          <w:rFonts w:ascii="Times New Roman" w:cs="Times New Roman" w:eastAsia="Times New Roman" w:hAnsi="Times New Roman"/>
          <w:sz w:val="24"/>
          <w:szCs w:val="24"/>
          <w:rtl w:val="0"/>
        </w:rPr>
        <w:t xml:space="preserve"> requeridas y plazos; </w:t>
      </w:r>
      <w:r w:rsidDel="00000000" w:rsidR="00000000" w:rsidRPr="00000000">
        <w:rPr>
          <w:rFonts w:ascii="Times New Roman" w:cs="Times New Roman" w:eastAsia="Times New Roman" w:hAnsi="Times New Roman"/>
          <w:i w:val="1"/>
          <w:sz w:val="24"/>
          <w:szCs w:val="24"/>
          <w:rtl w:val="0"/>
        </w:rPr>
        <w:t xml:space="preserve">d) Plan de trabajo:</w:t>
      </w:r>
      <w:r w:rsidDel="00000000" w:rsidR="00000000" w:rsidRPr="00000000">
        <w:rPr>
          <w:rFonts w:ascii="Times New Roman" w:cs="Times New Roman" w:eastAsia="Times New Roman" w:hAnsi="Times New Roman"/>
          <w:sz w:val="24"/>
          <w:szCs w:val="24"/>
          <w:rtl w:val="0"/>
        </w:rPr>
        <w:t xml:space="preserve"> que se elabore un plan general de licitación, ejecución de trabajos con plazos de obras; e) </w:t>
      </w:r>
      <w:r w:rsidDel="00000000" w:rsidR="00000000" w:rsidRPr="00000000">
        <w:rPr>
          <w:rFonts w:ascii="Times New Roman" w:cs="Times New Roman" w:eastAsia="Times New Roman" w:hAnsi="Times New Roman"/>
          <w:i w:val="1"/>
          <w:sz w:val="24"/>
          <w:szCs w:val="24"/>
          <w:rtl w:val="0"/>
        </w:rPr>
        <w:t xml:space="preserve">Plan de gestión ambiental. </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presentación se apoya en informes científicos de varias instituciones e investigadores de los más prestigiosos del país: Informe científico de GALLEGO-GARCÍA Diego y SARASOLA José Hernán, “Los canales de agua podrían promover la defaunación a gran escala en el Gran Chaco”; Informe “Impacto de barreras antropogénicas sobre la viabilidad y persistencia de las poblaciones y la integridad de la biodiversidad. EL CASO DEL CANAL DE LA PATRIA”  firmado por la Directora Académica de la Carrera de Especialización y Maestría en Conservación de la Biodiversidad de la Facultad de Ciencias Exactas y Naturales de la Universidad de Buenos Aires (FCEN-UBA), Bettina Mahler; la Directora de la Especialización en Biología de la Conservación de la Facultad de Ciencias Forestales de la Universidad Nacional de Misiones (FCF-UNaM), es decir María Paula Tujague; el Director de la Carrera de Posgrado Maestría en Manejo de Vida Silvestre de la Facultad de Ciencias Exactas, Físicas y Naturales de la Universidad Nacional de Córdoba, que es Gerardo C. Leynaud; el Director de la Maestría en Gestión de la Biodiversidad, Universidad Nacional del Comahue que es Thomas Kitzberger; y el Director del Centro de Ecología Aplicada del Litoral (CONICET-UNNE), que es Adrián Di Giacomo; Informe científico de GRIGUOL, Denise y CASAÑAS, Hernán,  "Impacto del Canal de la Patria sobre la fauna silvestre"; Informe científico de LARTIGAU, Bernardo y GALLEGO GARCÍA, Diego, “Relevamiento expeditivo en el Nuevo Canal de la Patria”; informe científico de GRIGUOL, Denise y CAMARASA, Tomás, "Recorrido por el Nuevo Canal de la Patria"; Informe científico de LARTIGAU, Bernardo; ROGET, Leonel; PERIAGO, María Eugenia; DIEGUEZ GAVIOLA, Gonzalo; GALLEGO-GARCÍA, Diego; “Segundo relevamiento expeditivo en el Canal de la Patria”; Informe científico de DI BLANCO Yamil E. y VARELA Diego, “Informe Técnico, Situación del oso hormiguero y otros grandes xenartros con respecto al Canal de la Patria”; Informe científico de CAMINO Micaela, "Efectos del Canal de la Patria sobre la conservación del Pecarí Quimilero (Catagonus wagneri)”; Informe científico de GIRAUDO, Alejandro R., "Herpetofauna del Canal de La Patria, Santiago del Estero"; y una Nota de la Sociedad Argentina para el Estudio de Mamíferos (SAREM), titulada “Canal de la Patria: Impacto Ambiental y Necesidad de Acción Colectiva”.</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Dos aclaraciones finales muy importantes: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Primero:</w:t>
      </w:r>
      <w:r w:rsidDel="00000000" w:rsidR="00000000" w:rsidRPr="00000000">
        <w:rPr>
          <w:rFonts w:ascii="Times New Roman" w:cs="Times New Roman" w:eastAsia="Times New Roman" w:hAnsi="Times New Roman"/>
          <w:sz w:val="24"/>
          <w:szCs w:val="24"/>
          <w:rtl w:val="0"/>
        </w:rPr>
        <w:t xml:space="preserve"> NINGUNA DE LAS PERSONAS NI ASOCIACIONES INTERVINIENTES EN LA PRESENTE DEMANDA ESTÁ EN CONTRA NI DE LA EXISTENCIA DEL CANAL EN SÍ, NI DE LA PROVISIÓN Y ACCESO AL AGUA POR PARTE DE LAS POBLACIONES BENEFICIARIAS. Todo lo contrario. Debe garantizarse el derecho humano al agua. Pero sí estamos </w:t>
      </w:r>
      <w:r w:rsidDel="00000000" w:rsidR="00000000" w:rsidRPr="00000000">
        <w:rPr>
          <w:rFonts w:ascii="Times New Roman" w:cs="Times New Roman" w:eastAsia="Times New Roman" w:hAnsi="Times New Roman"/>
          <w:i w:val="1"/>
          <w:sz w:val="24"/>
          <w:szCs w:val="24"/>
          <w:rtl w:val="0"/>
        </w:rPr>
        <w:t xml:space="preserve">extremadamente</w:t>
      </w:r>
      <w:r w:rsidDel="00000000" w:rsidR="00000000" w:rsidRPr="00000000">
        <w:rPr>
          <w:rFonts w:ascii="Times New Roman" w:cs="Times New Roman" w:eastAsia="Times New Roman" w:hAnsi="Times New Roman"/>
          <w:sz w:val="24"/>
          <w:szCs w:val="24"/>
          <w:rtl w:val="0"/>
        </w:rPr>
        <w:t xml:space="preserve"> preocupadas por la forma en que se construyó el Canal, por la total falta de consideración del aspecto ambiental y por los gravísimos daños que se están generando.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todos estos problemas, reviste una alta preocupación para las organizaciones la salubridad del agua que se traslada y que termina siendo de consumo y abastecimiento de las poblaciones. La mortandad de animales va acompañada de un proceso de putrefacción de los mismos, con la consiguiente potencial alteración de la calidad del agua del canal. Por lo tanto, también nos interesa resaltar la afectación de la salud pública que tiene el presente caso.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en nuestra tarea diaria, como en la presente demanda, abogamos por la conservación del ambiente, y tenemos en claro que ello se logra acompañado del desarrollo que debe ser sostenible como lo manda nuestro texto constitucional. Este es un punto relevante en el presente caso en el que estamos ante una obra de tal relevancia por el acceso al agua que otorga a muchos habitantes de la provincia. Pero estamos convencidos de que estas obras no pueden hacerse a cualquier costo ni de cualquier manera. El derecho de los pobladores al acceso al agua y a las actividades productivas que ello les permite debe coordinarse y armonizarse con el derecho colectivo a un ambiente sano.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Segundo:</w:t>
      </w:r>
      <w:r w:rsidDel="00000000" w:rsidR="00000000" w:rsidRPr="00000000">
        <w:rPr>
          <w:rFonts w:ascii="Times New Roman" w:cs="Times New Roman" w:eastAsia="Times New Roman" w:hAnsi="Times New Roman"/>
          <w:sz w:val="24"/>
          <w:szCs w:val="24"/>
          <w:rtl w:val="0"/>
        </w:rPr>
        <w:t xml:space="preserve"> la demanda no persigue ningún beneficio personal ni para las asociaciones ni para nadie, sino que sólo se solicitan medidas para corregir la obra que hoy viene provocando una gran cantidad de muertes de fauna.</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este motivo es que hemos solicitado a la Corte que intime a la Nación -que fuera quien diseñara y solventara económicamente la obra- y a la Provincia de Santiago del Estero -que fuera quien la ejecutara- que la corrijan, que tomen medidas de mitigación para -sin afectar su funcionalidad en relación al abastecimiento de agua- evitar la extinción de especies amenazadas que están muriendo en el Canal de la Patria en un altísimo número.  </w:t>
      </w:r>
    </w:p>
    <w:sectPr>
      <w:footerReference r:id="rId7" w:type="default"/>
      <w:pgSz w:h="16838" w:w="11906" w:orient="portrait"/>
      <w:pgMar w:bottom="1417" w:top="1417" w:left="1418"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CC4AF8"/>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CC4AF8"/>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CC4AF8"/>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CC4AF8"/>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CC4AF8"/>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
    <w:uiPriority w:val="9"/>
    <w:semiHidden w:val="1"/>
    <w:unhideWhenUsed w:val="1"/>
    <w:qFormat w:val="1"/>
    <w:rsid w:val="00CC4AF8"/>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CC4AF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CC4AF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CC4AF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C4AF8"/>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CC4AF8"/>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CC4AF8"/>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CC4AF8"/>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CC4AF8"/>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CC4AF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CC4AF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CC4AF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CC4AF8"/>
    <w:rPr>
      <w:rFonts w:cstheme="majorBidi" w:eastAsiaTheme="majorEastAsia"/>
      <w:color w:val="272727" w:themeColor="text1" w:themeTint="0000D8"/>
    </w:rPr>
  </w:style>
  <w:style w:type="paragraph" w:styleId="Ttulo">
    <w:name w:val="Title"/>
    <w:basedOn w:val="Normal"/>
    <w:next w:val="Normal"/>
    <w:link w:val="TtuloCar"/>
    <w:uiPriority w:val="10"/>
    <w:qFormat w:val="1"/>
    <w:rsid w:val="00CC4AF8"/>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CC4AF8"/>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CC4AF8"/>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CC4AF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CC4AF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CC4AF8"/>
    <w:rPr>
      <w:i w:val="1"/>
      <w:iCs w:val="1"/>
      <w:color w:val="404040" w:themeColor="text1" w:themeTint="0000BF"/>
    </w:rPr>
  </w:style>
  <w:style w:type="paragraph" w:styleId="Prrafodelista">
    <w:name w:val="List Paragraph"/>
    <w:basedOn w:val="Normal"/>
    <w:uiPriority w:val="34"/>
    <w:qFormat w:val="1"/>
    <w:rsid w:val="00CC4AF8"/>
    <w:pPr>
      <w:ind w:left="720"/>
      <w:contextualSpacing w:val="1"/>
    </w:pPr>
  </w:style>
  <w:style w:type="character" w:styleId="nfasisintenso">
    <w:name w:val="Intense Emphasis"/>
    <w:basedOn w:val="Fuentedeprrafopredeter"/>
    <w:uiPriority w:val="21"/>
    <w:qFormat w:val="1"/>
    <w:rsid w:val="00CC4AF8"/>
    <w:rPr>
      <w:i w:val="1"/>
      <w:iCs w:val="1"/>
      <w:color w:val="2f5496" w:themeColor="accent1" w:themeShade="0000BF"/>
    </w:rPr>
  </w:style>
  <w:style w:type="paragraph" w:styleId="Citadestacada">
    <w:name w:val="Intense Quote"/>
    <w:basedOn w:val="Normal"/>
    <w:next w:val="Normal"/>
    <w:link w:val="CitadestacadaCar"/>
    <w:uiPriority w:val="30"/>
    <w:qFormat w:val="1"/>
    <w:rsid w:val="00CC4AF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CC4AF8"/>
    <w:rPr>
      <w:i w:val="1"/>
      <w:iCs w:val="1"/>
      <w:color w:val="2f5496" w:themeColor="accent1" w:themeShade="0000BF"/>
    </w:rPr>
  </w:style>
  <w:style w:type="character" w:styleId="Referenciaintensa">
    <w:name w:val="Intense Reference"/>
    <w:basedOn w:val="Fuentedeprrafopredeter"/>
    <w:uiPriority w:val="32"/>
    <w:qFormat w:val="1"/>
    <w:rsid w:val="00CC4AF8"/>
    <w:rPr>
      <w:b w:val="1"/>
      <w:bCs w:val="1"/>
      <w:smallCaps w:val="1"/>
      <w:color w:val="2f5496" w:themeColor="accent1" w:themeShade="0000BF"/>
      <w:spacing w:val="5"/>
    </w:rPr>
  </w:style>
  <w:style w:type="character" w:styleId="Hipervnculo">
    <w:name w:val="Hyperlink"/>
    <w:basedOn w:val="Fuentedeprrafopredeter"/>
    <w:uiPriority w:val="99"/>
    <w:unhideWhenUsed w:val="1"/>
    <w:rsid w:val="003316AE"/>
    <w:rPr>
      <w:color w:val="0563c1" w:themeColor="hyperlink"/>
      <w:u w:val="single"/>
    </w:rPr>
  </w:style>
  <w:style w:type="character" w:styleId="Mencinsinresolver1" w:customStyle="1">
    <w:name w:val="Mención sin resolver1"/>
    <w:basedOn w:val="Fuentedeprrafopredeter"/>
    <w:uiPriority w:val="99"/>
    <w:semiHidden w:val="1"/>
    <w:unhideWhenUsed w:val="1"/>
    <w:rsid w:val="003316AE"/>
    <w:rPr>
      <w:color w:val="605e5c"/>
      <w:shd w:color="auto" w:fill="e1dfdd" w:val="clear"/>
    </w:rPr>
  </w:style>
  <w:style w:type="paragraph" w:styleId="Encabezado">
    <w:name w:val="header"/>
    <w:basedOn w:val="Normal"/>
    <w:link w:val="EncabezadoCar"/>
    <w:uiPriority w:val="99"/>
    <w:unhideWhenUsed w:val="1"/>
    <w:rsid w:val="0046090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6090B"/>
  </w:style>
  <w:style w:type="paragraph" w:styleId="Piedepgina">
    <w:name w:val="footer"/>
    <w:basedOn w:val="Normal"/>
    <w:link w:val="PiedepginaCar"/>
    <w:uiPriority w:val="99"/>
    <w:unhideWhenUsed w:val="1"/>
    <w:rsid w:val="0046090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6090B"/>
  </w:style>
  <w:style w:type="paragraph" w:styleId="Textodeglobo">
    <w:name w:val="Balloon Text"/>
    <w:basedOn w:val="Normal"/>
    <w:link w:val="TextodegloboCar"/>
    <w:uiPriority w:val="99"/>
    <w:semiHidden w:val="1"/>
    <w:unhideWhenUsed w:val="1"/>
    <w:rsid w:val="0046090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6090B"/>
    <w:rPr>
      <w:rFonts w:ascii="Segoe UI" w:cs="Segoe UI" w:hAnsi="Segoe UI"/>
      <w:sz w:val="18"/>
      <w:szCs w:val="18"/>
    </w:rPr>
  </w:style>
  <w:style w:type="paragraph" w:styleId="Revisin">
    <w:name w:val="Revision"/>
    <w:hidden w:val="1"/>
    <w:uiPriority w:val="99"/>
    <w:semiHidden w:val="1"/>
    <w:rsid w:val="00AA44CE"/>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hBZvKCZ4Nbv3arsU5gWCcJcipg==">CgMxLjA4AHIhMThFUTlWN1JaTWJWYjZaT0Q4Z0FjcG9nTTdMTDIyS1R4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2025-06-12T19:48:00Z</dcterms:created>
  <dc:creator>Estudio José Esain</dc:creator>
</cp:coreProperties>
</file>